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5444EF" w:rsidTr="005444EF">
        <w:trPr>
          <w:trHeight w:val="20"/>
          <w:tblHeader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 w:val="restart"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134886">
              <w:rPr>
                <w:bCs/>
                <w:color w:val="FF0000"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5444EF" w:rsidRPr="00134886" w:rsidRDefault="005444EF" w:rsidP="005444EF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>Конст</w:t>
            </w:r>
            <w:r>
              <w:rPr>
                <w:color w:val="FF0000"/>
                <w:sz w:val="24"/>
                <w:szCs w:val="24"/>
              </w:rPr>
              <w:t>рукция корпуса судов (кораблей)</w:t>
            </w:r>
          </w:p>
        </w:tc>
        <w:tc>
          <w:tcPr>
            <w:tcW w:w="2086" w:type="dxa"/>
          </w:tcPr>
          <w:p w:rsidR="005444EF" w:rsidRPr="005444EF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 xml:space="preserve">Барабанов, Н.В. Конструкция корпуса морских судов: Учебник. – В двух томах / Н.В. Барабанов, Г.П.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Турмов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 – СПб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>Судостроение, 2002. – 472 с.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5444EF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5444EF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>Правила классификации и постройки морских судов / Российский морской регистр судоходства. – СПб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.: 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>РМРС, 2003. – Т.</w:t>
            </w:r>
            <w:r>
              <w:rPr>
                <w:color w:val="FF0000"/>
                <w:sz w:val="24"/>
                <w:szCs w:val="24"/>
              </w:rPr>
              <w:t>1.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5444EF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134886">
              <w:rPr>
                <w:color w:val="FF0000"/>
                <w:sz w:val="24"/>
                <w:szCs w:val="24"/>
              </w:rPr>
              <w:t>Чижиумов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, С.Д. Проектирование конструкций корпуса судна: Учебное пособие/ С.Д.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Чижиумов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, А.Д.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Бурменский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 – Комсомольск-на-Амуре: ГОУВПО «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КнАГТУ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>», 2007. - 115 с.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134886" w:rsidRDefault="005444EF" w:rsidP="005444EF">
            <w:pPr>
              <w:suppressLineNumbers/>
              <w:rPr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5444EF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Ч</w:t>
            </w:r>
            <w:r w:rsidRPr="00134886">
              <w:rPr>
                <w:color w:val="FF0000"/>
                <w:sz w:val="24"/>
                <w:szCs w:val="24"/>
              </w:rPr>
              <w:t>ижиумов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, С.Д. Примеры конструкций судов: Учебное пособие/ С.Д.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Чижиумов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  – Комсомольск-на-Амуре: ГОУВПО «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КнАГТУ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>», 2007. - 133 с.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086" w:type="dxa"/>
          </w:tcPr>
          <w:p w:rsidR="005444EF" w:rsidRPr="005444EF" w:rsidRDefault="005444EF" w:rsidP="00B14103">
            <w:pPr>
              <w:suppressLineNumber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4EF" w:rsidTr="005444EF">
        <w:trPr>
          <w:trHeight w:val="20"/>
        </w:trPr>
        <w:tc>
          <w:tcPr>
            <w:tcW w:w="1757" w:type="dxa"/>
            <w:vMerge w:val="restart"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134886">
              <w:rPr>
                <w:bCs/>
                <w:color w:val="FF0000"/>
                <w:sz w:val="24"/>
                <w:szCs w:val="24"/>
              </w:rPr>
              <w:t>Учебная практика</w:t>
            </w:r>
          </w:p>
        </w:tc>
        <w:tc>
          <w:tcPr>
            <w:tcW w:w="2077" w:type="dxa"/>
            <w:vMerge w:val="restart"/>
          </w:tcPr>
          <w:p w:rsidR="005444EF" w:rsidRPr="00134886" w:rsidRDefault="005444EF" w:rsidP="005444EF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086" w:type="dxa"/>
          </w:tcPr>
          <w:p w:rsidR="005444EF" w:rsidRPr="005444EF" w:rsidRDefault="005444EF" w:rsidP="000A0C88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>Данилов, А. Т. Современное морское судно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учебная обязательная / А. Т. Данилов, В. А.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Середохо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>. – Санкт Петербург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Судостроение, 2011. – 408 с. 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Default="005444EF" w:rsidP="005444EF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5444EF" w:rsidRDefault="005444EF" w:rsidP="000A0C88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134886">
              <w:rPr>
                <w:color w:val="FF0000"/>
                <w:sz w:val="24"/>
                <w:szCs w:val="24"/>
              </w:rPr>
              <w:t>Жинкин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>, В. Б. Теория и устройство корабля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учебник для вузов / В. Б.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Жинкин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. - 4-е изд.,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перераб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>. и доп. - Санкт Петербург : Судостроение, 2010. – 407 с.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Default="005444EF" w:rsidP="005444EF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5444EF" w:rsidRDefault="005444EF" w:rsidP="000A0C88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>Мельников, В. П. Безопасность жизнедеятельности [Электронный ресурс]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учебник / В.П. Мельников. — М.: КУРС: ИНФРА-М, 2017. — 400 с. // ZNANIUM.COM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электронно-библиотечная система. – Режим доступа: http://www.znanium.com/catalog.php,</w:t>
            </w:r>
            <w:r>
              <w:rPr>
                <w:color w:val="FF0000"/>
                <w:sz w:val="24"/>
                <w:szCs w:val="24"/>
              </w:rPr>
              <w:t xml:space="preserve"> ограниченный. – </w:t>
            </w:r>
            <w:proofErr w:type="spellStart"/>
            <w:r>
              <w:rPr>
                <w:color w:val="FF0000"/>
                <w:sz w:val="24"/>
                <w:szCs w:val="24"/>
              </w:rPr>
              <w:t>Загл</w:t>
            </w:r>
            <w:proofErr w:type="spellEnd"/>
            <w:r>
              <w:rPr>
                <w:color w:val="FF0000"/>
                <w:sz w:val="24"/>
                <w:szCs w:val="24"/>
              </w:rPr>
              <w:t>. с экрана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Default="005444EF" w:rsidP="005444EF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5444EF" w:rsidRDefault="005444EF" w:rsidP="000A0C88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5444EF" w:rsidRPr="00134886" w:rsidRDefault="005444EF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 xml:space="preserve">Справочник по судостроительному черчению / В. Г. Матвеев, В. Д. Борисенко, Г. А.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Барашкова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, Л. А. 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>Горев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>. – Ленинград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Судостроение, 1983. – 245 с. </w:t>
            </w:r>
          </w:p>
        </w:tc>
      </w:tr>
      <w:tr w:rsidR="005444EF" w:rsidTr="005444EF">
        <w:trPr>
          <w:trHeight w:val="20"/>
        </w:trPr>
        <w:tc>
          <w:tcPr>
            <w:tcW w:w="1757" w:type="dxa"/>
            <w:vMerge/>
          </w:tcPr>
          <w:p w:rsidR="005444EF" w:rsidRPr="00134886" w:rsidRDefault="005444EF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Default="005444EF" w:rsidP="005444EF">
            <w:pPr>
              <w:suppressLineNumbers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134886" w:rsidRDefault="005444EF" w:rsidP="000A0C88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r w:rsidRPr="005444EF">
              <w:rPr>
                <w:bCs/>
                <w:color w:val="FF0000"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5444EF" w:rsidRPr="00134886" w:rsidRDefault="005444EF" w:rsidP="000A0C88">
            <w:pPr>
              <w:numPr>
                <w:ilvl w:val="0"/>
                <w:numId w:val="4"/>
              </w:numPr>
              <w:tabs>
                <w:tab w:val="left" w:pos="283"/>
                <w:tab w:val="left" w:pos="567"/>
                <w:tab w:val="left" w:pos="850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  <w:r w:rsidRPr="0013488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Жинкин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>, В. Б. Теория и устройство корабля : учеб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>д</w:t>
            </w:r>
            <w:proofErr w:type="gramEnd"/>
            <w:r w:rsidRPr="00134886">
              <w:rPr>
                <w:color w:val="FF0000"/>
                <w:sz w:val="24"/>
                <w:szCs w:val="24"/>
              </w:rPr>
              <w:t>ля</w:t>
            </w:r>
            <w:r w:rsidRPr="00134886">
              <w:rPr>
                <w:color w:val="FF0000"/>
                <w:sz w:val="24"/>
                <w:szCs w:val="24"/>
              </w:rPr>
              <w:t xml:space="preserve"> вузов / В. Б.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Жинкин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. - 4-е изд., </w:t>
            </w:r>
            <w:proofErr w:type="spellStart"/>
            <w:r w:rsidRPr="00134886">
              <w:rPr>
                <w:color w:val="FF0000"/>
                <w:sz w:val="24"/>
                <w:szCs w:val="24"/>
              </w:rPr>
              <w:t>перераб</w:t>
            </w:r>
            <w:proofErr w:type="spellEnd"/>
            <w:r w:rsidRPr="00134886">
              <w:rPr>
                <w:color w:val="FF0000"/>
                <w:sz w:val="24"/>
                <w:szCs w:val="24"/>
              </w:rPr>
              <w:t xml:space="preserve">. и доп. - Санкт Петербург : Судостроение, 2010. – 407 </w:t>
            </w:r>
            <w:proofErr w:type="gramStart"/>
            <w:r w:rsidRPr="00134886">
              <w:rPr>
                <w:color w:val="FF0000"/>
                <w:sz w:val="24"/>
                <w:szCs w:val="24"/>
              </w:rPr>
              <w:t>с</w:t>
            </w:r>
            <w:proofErr w:type="gramEnd"/>
          </w:p>
        </w:tc>
      </w:tr>
      <w:tr w:rsidR="005444EF" w:rsidTr="005444EF">
        <w:trPr>
          <w:trHeight w:val="20"/>
        </w:trPr>
        <w:tc>
          <w:tcPr>
            <w:tcW w:w="1757" w:type="dxa"/>
          </w:tcPr>
          <w:p w:rsidR="005444EF" w:rsidRPr="00B14103" w:rsidRDefault="005444EF" w:rsidP="00B14103">
            <w:pPr>
              <w:suppressLineNumber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5444EF" w:rsidRPr="00B14103" w:rsidRDefault="005444EF" w:rsidP="00B14103">
            <w:pPr>
              <w:suppressLineNumber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4EF" w:rsidTr="005444EF">
        <w:trPr>
          <w:trHeight w:val="20"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4EF" w:rsidTr="005444EF">
        <w:trPr>
          <w:trHeight w:val="20"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4EF" w:rsidTr="005444EF">
        <w:trPr>
          <w:trHeight w:val="20"/>
        </w:trPr>
        <w:tc>
          <w:tcPr>
            <w:tcW w:w="175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Default="005444EF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1002B3"/>
    <w:rsid w:val="00134886"/>
    <w:rsid w:val="005444EF"/>
    <w:rsid w:val="00896CAD"/>
    <w:rsid w:val="008F473A"/>
    <w:rsid w:val="00B14103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2022-03-09T09:39:00Z</dcterms:created>
  <dcterms:modified xsi:type="dcterms:W3CDTF">2022-03-09T10:35:00Z</dcterms:modified>
</cp:coreProperties>
</file>