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A" w:rsidRPr="001C329A" w:rsidRDefault="001C329A" w:rsidP="001C329A">
      <w:pPr>
        <w:rPr>
          <w:b/>
          <w:sz w:val="28"/>
          <w:szCs w:val="28"/>
        </w:rPr>
      </w:pPr>
      <w:r w:rsidRPr="001C329A">
        <w:rPr>
          <w:b/>
          <w:sz w:val="28"/>
          <w:szCs w:val="28"/>
        </w:rPr>
        <w:t>Монографии 2022 год</w:t>
      </w:r>
    </w:p>
    <w:p w:rsidR="001C329A" w:rsidRDefault="001C329A" w:rsidP="001C329A"/>
    <w:p w:rsidR="001C329A" w:rsidRDefault="001C329A" w:rsidP="001C329A"/>
    <w:p w:rsidR="001C329A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  <w:hyperlink r:id="rId5" w:history="1"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>СИСТЕМА ЗДРАВООХРАНЕНИЯ КАК МЕХАНИЗМ ИНТЕГРАЦИИ КОРЕННЫХ МАЛОЧИСЛЕННЫХ НАРОДОВ ХАБАРОВСКОГО КРАЯ В СОВЕТСКИЙ СОЦИУМ</w:t>
        </w:r>
      </w:hyperlink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Ахметова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А.В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Бобышев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С.В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Мусалитина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Е.А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Климова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Е.В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.</w:t>
      </w:r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color w:val="000000" w:themeColor="text1"/>
          <w:shd w:val="clear" w:color="auto" w:fill="F5F5F5"/>
          <w:lang w:eastAsia="en-US"/>
        </w:rPr>
        <w:t>(вторая половина 1950 гг. – вторая половина 1980 гг.) / Комсомольск-на-Амуре, 2022.</w:t>
      </w:r>
    </w:p>
    <w:p w:rsidR="001C329A" w:rsidRPr="00765BE0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</w:p>
    <w:p w:rsidR="001C329A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  <w:hyperlink r:id="rId6" w:history="1"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>АКТИВАЦИЯ ТВЕРДОФАЗНОГО ДИФФУЗИОННОГО ВЗАИМОДЕЙСТВИЯ ПРИ ФОРМИРОВАНИИ СВАРНЫХ СОЕДИНЕНИЙ</w:t>
        </w:r>
      </w:hyperlink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Муравьев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В.И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Бахматов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П.В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Саблин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П.А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Григорьев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В.В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.</w:t>
      </w:r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color w:val="000000" w:themeColor="text1"/>
          <w:shd w:val="clear" w:color="auto" w:fill="F5F5F5"/>
          <w:lang w:eastAsia="en-US"/>
        </w:rPr>
        <w:t>Вологда, 2022.</w:t>
      </w:r>
    </w:p>
    <w:p w:rsidR="001C329A" w:rsidRPr="00765BE0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</w:p>
    <w:p w:rsidR="001C329A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  <w:hyperlink r:id="rId7" w:history="1"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 xml:space="preserve">КРИТЕРИИ МОНИТОРИНГА ПРЕДЕЛЬНЫХ СОСТОЯНИЙ КОНСТРУКЦИОННЫХ МАТЕРИАЛОВ ПРИ РАЗЛИЧНЫХ ТРАЕКТОРИЯХ ЦИКЛИЧЕСКОГО </w:t>
        </w:r>
        <w:proofErr w:type="spellStart"/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>НАГРУЖЕНИЯ</w:t>
        </w:r>
        <w:proofErr w:type="spellEnd"/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 xml:space="preserve"> ПО ПАРАМЕТРАМ АКУСТИЧЕСКОЙ ЭМИССИИ</w:t>
        </w:r>
      </w:hyperlink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Сысоев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О.Е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Добрышкин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А.Ю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Сысоев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Е.О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Головко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А.В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.</w:t>
      </w:r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color w:val="000000" w:themeColor="text1"/>
          <w:shd w:val="clear" w:color="auto" w:fill="F5F5F5"/>
          <w:lang w:eastAsia="en-US"/>
        </w:rPr>
        <w:t>Комсомольск-на-Амуре, 2022.</w:t>
      </w:r>
    </w:p>
    <w:p w:rsidR="001C329A" w:rsidRPr="00765BE0" w:rsidRDefault="001C329A" w:rsidP="001C329A">
      <w:pPr>
        <w:rPr>
          <w:rFonts w:eastAsiaTheme="minorHAnsi"/>
          <w:color w:val="000000" w:themeColor="text1"/>
          <w:shd w:val="clear" w:color="auto" w:fill="F5F5F5"/>
          <w:lang w:eastAsia="en-US"/>
        </w:rPr>
      </w:pPr>
    </w:p>
    <w:p w:rsidR="001C329A" w:rsidRDefault="001C329A" w:rsidP="001C329A">
      <w:pPr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</w:pPr>
      <w:hyperlink r:id="rId8" w:history="1">
        <w:r w:rsidRPr="00765BE0">
          <w:rPr>
            <w:rFonts w:eastAsiaTheme="minorHAnsi"/>
            <w:b/>
            <w:bCs/>
            <w:color w:val="000000" w:themeColor="text1"/>
            <w:u w:val="single"/>
            <w:shd w:val="clear" w:color="auto" w:fill="F5F5F5"/>
            <w:lang w:eastAsia="en-US"/>
          </w:rPr>
          <w:t>ОСОБЕННОСТИ И СЛОЖНОСТИ ЛЕЗВИЙНОЙ ОБРАБОТКИ ТРУДНООБРАБАТЫВАЕМЫХ МАТЕРИАЛОВ</w:t>
        </w:r>
      </w:hyperlink>
      <w:r w:rsidRPr="00765BE0">
        <w:rPr>
          <w:rFonts w:eastAsiaTheme="minorHAnsi"/>
          <w:color w:val="000000" w:themeColor="text1"/>
          <w:lang w:eastAsia="en-US"/>
        </w:rPr>
        <w:br/>
      </w:r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Мокрицкий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Б.Я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.</w:t>
      </w:r>
    </w:p>
    <w:p w:rsidR="001C329A" w:rsidRPr="00765BE0" w:rsidRDefault="001C329A" w:rsidP="001C329A">
      <w:pPr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</w:pPr>
    </w:p>
    <w:p w:rsidR="001C329A" w:rsidRPr="00765BE0" w:rsidRDefault="001C329A" w:rsidP="001C329A">
      <w:pPr>
        <w:rPr>
          <w:rFonts w:eastAsiaTheme="minorHAnsi"/>
          <w:b/>
          <w:iCs/>
          <w:color w:val="000000" w:themeColor="text1"/>
          <w:shd w:val="clear" w:color="auto" w:fill="F5F5F5"/>
          <w:lang w:eastAsia="en-US"/>
        </w:rPr>
      </w:pPr>
      <w:r w:rsidRPr="00765BE0">
        <w:rPr>
          <w:rFonts w:eastAsiaTheme="minorHAnsi"/>
          <w:b/>
          <w:iCs/>
          <w:color w:val="000000" w:themeColor="text1"/>
          <w:shd w:val="clear" w:color="auto" w:fill="F5F5F5"/>
          <w:lang w:eastAsia="en-US"/>
        </w:rPr>
        <w:t>ОБЕСПЕЧЕНИЕ КАЧЕСТВА НЕРАЗЪЕМНЫХ СОЕДИНЕНИЙ ТИТАНОВЫХ КОНСТРУКЦИЙ ЛЕТАТЕЛЬНЫХ АППАРАТОВ.</w:t>
      </w:r>
    </w:p>
    <w:p w:rsidR="001C329A" w:rsidRDefault="001C329A" w:rsidP="001C329A">
      <w:pPr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</w:pPr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Муравьев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В.И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Бахматов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П.В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 xml:space="preserve">., Григорьев </w:t>
      </w:r>
      <w:proofErr w:type="spellStart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В.В</w:t>
      </w:r>
      <w:proofErr w:type="spellEnd"/>
      <w:r w:rsidRPr="00765BE0"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  <w:t>.</w:t>
      </w:r>
    </w:p>
    <w:p w:rsidR="001C329A" w:rsidRPr="00765BE0" w:rsidRDefault="001C329A" w:rsidP="001C329A">
      <w:pPr>
        <w:rPr>
          <w:rFonts w:eastAsiaTheme="minorHAnsi"/>
          <w:i/>
          <w:iCs/>
          <w:color w:val="000000" w:themeColor="text1"/>
          <w:shd w:val="clear" w:color="auto" w:fill="F5F5F5"/>
          <w:lang w:eastAsia="en-US"/>
        </w:rPr>
      </w:pPr>
    </w:p>
    <w:p w:rsidR="001C329A" w:rsidRPr="00765BE0" w:rsidRDefault="001C329A" w:rsidP="001C329A">
      <w:pPr>
        <w:rPr>
          <w:i/>
          <w:iCs/>
          <w:color w:val="000000" w:themeColor="text1"/>
        </w:rPr>
      </w:pPr>
      <w:hyperlink r:id="rId9" w:history="1">
        <w:r w:rsidRPr="00765BE0">
          <w:rPr>
            <w:b/>
            <w:bCs/>
            <w:color w:val="000000" w:themeColor="text1"/>
          </w:rPr>
          <w:t>БЕСКОНТАКТНЫЕ ОПОРЫ ВЫСОКОСКОРОСТНЫХ РОТОРНЫХ СИСТЕМ. ЭКСПЛУАТАЦИЯ И ПРОЕКТИРОВАНИЕ</w:t>
        </w:r>
      </w:hyperlink>
      <w:r w:rsidRPr="00765BE0">
        <w:rPr>
          <w:color w:val="000000" w:themeColor="text1"/>
        </w:rPr>
        <w:br/>
      </w:r>
      <w:proofErr w:type="spellStart"/>
      <w:r w:rsidRPr="00765BE0">
        <w:rPr>
          <w:i/>
          <w:iCs/>
          <w:color w:val="000000" w:themeColor="text1"/>
        </w:rPr>
        <w:t>Космынин</w:t>
      </w:r>
      <w:proofErr w:type="spellEnd"/>
      <w:r w:rsidRPr="00765BE0">
        <w:rPr>
          <w:i/>
          <w:iCs/>
          <w:color w:val="000000" w:themeColor="text1"/>
        </w:rPr>
        <w:t xml:space="preserve"> </w:t>
      </w:r>
      <w:proofErr w:type="spellStart"/>
      <w:r w:rsidRPr="00765BE0">
        <w:rPr>
          <w:i/>
          <w:iCs/>
          <w:color w:val="000000" w:themeColor="text1"/>
        </w:rPr>
        <w:t>А.В</w:t>
      </w:r>
      <w:proofErr w:type="spellEnd"/>
      <w:r w:rsidRPr="00765BE0">
        <w:rPr>
          <w:i/>
          <w:iCs/>
          <w:color w:val="000000" w:themeColor="text1"/>
        </w:rPr>
        <w:t xml:space="preserve">., Щетинин </w:t>
      </w:r>
      <w:proofErr w:type="spellStart"/>
      <w:r w:rsidRPr="00765BE0">
        <w:rPr>
          <w:i/>
          <w:iCs/>
          <w:color w:val="000000" w:themeColor="text1"/>
        </w:rPr>
        <w:t>В.С</w:t>
      </w:r>
      <w:proofErr w:type="spellEnd"/>
      <w:r w:rsidRPr="00765BE0">
        <w:rPr>
          <w:i/>
          <w:iCs/>
          <w:color w:val="000000" w:themeColor="text1"/>
        </w:rPr>
        <w:t xml:space="preserve">., Смирнов </w:t>
      </w:r>
      <w:proofErr w:type="spellStart"/>
      <w:r w:rsidRPr="00765BE0">
        <w:rPr>
          <w:i/>
          <w:iCs/>
          <w:color w:val="000000" w:themeColor="text1"/>
        </w:rPr>
        <w:t>А.В</w:t>
      </w:r>
      <w:proofErr w:type="spellEnd"/>
      <w:r w:rsidRPr="00765BE0">
        <w:rPr>
          <w:i/>
          <w:iCs/>
          <w:color w:val="000000" w:themeColor="text1"/>
        </w:rPr>
        <w:t xml:space="preserve">., Хвостиков </w:t>
      </w:r>
      <w:proofErr w:type="spellStart"/>
      <w:r w:rsidRPr="00765BE0">
        <w:rPr>
          <w:i/>
          <w:iCs/>
          <w:color w:val="000000" w:themeColor="text1"/>
        </w:rPr>
        <w:t>А.С</w:t>
      </w:r>
      <w:proofErr w:type="spellEnd"/>
      <w:r w:rsidRPr="00765BE0">
        <w:rPr>
          <w:i/>
          <w:iCs/>
          <w:color w:val="000000" w:themeColor="text1"/>
        </w:rPr>
        <w:t>.</w:t>
      </w:r>
    </w:p>
    <w:p w:rsidR="0073337B" w:rsidRPr="001C329A" w:rsidRDefault="001C329A" w:rsidP="001C329A">
      <w:r w:rsidRPr="00765BE0">
        <w:rPr>
          <w:color w:val="000000" w:themeColor="text1"/>
        </w:rPr>
        <w:br/>
      </w:r>
      <w:bookmarkStart w:id="0" w:name="_GoBack"/>
      <w:bookmarkEnd w:id="0"/>
    </w:p>
    <w:sectPr w:rsidR="0073337B" w:rsidRPr="001C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66"/>
    <w:rsid w:val="001C329A"/>
    <w:rsid w:val="004E3966"/>
    <w:rsid w:val="007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9064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499737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980842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ibrary.ru/item.asp?id=491747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8029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Жалдак Наталья Александровна</dc:creator>
  <cp:lastModifiedBy>Жалдак Наталья Александровна</cp:lastModifiedBy>
  <cp:revision>2</cp:revision>
  <dcterms:created xsi:type="dcterms:W3CDTF">2024-09-18T23:44:00Z</dcterms:created>
  <dcterms:modified xsi:type="dcterms:W3CDTF">2024-09-18T23:44:00Z</dcterms:modified>
</cp:coreProperties>
</file>