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48073E" w:rsidRPr="00B7756C" w:rsidTr="0048073E">
        <w:tc>
          <w:tcPr>
            <w:tcW w:w="4621" w:type="dxa"/>
          </w:tcPr>
          <w:p w:rsidR="0038507D" w:rsidRPr="0048073E" w:rsidRDefault="0048073E" w:rsidP="00B7756C">
            <w:pPr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СОГЛАСО</w:t>
            </w:r>
            <w:r w:rsidRPr="0048073E">
              <w:rPr>
                <w:rFonts w:hAnsi="Times New Roman" w:cs="Times New Roman"/>
                <w:bCs/>
                <w:color w:val="000000"/>
                <w:lang w:val="ru-RU"/>
              </w:rPr>
              <w:t>ВАНО</w:t>
            </w:r>
            <w:r>
              <w:rPr>
                <w:rFonts w:hAnsi="Times New Roman" w:cs="Times New Roman"/>
                <w:bCs/>
                <w:color w:val="000000"/>
                <w:lang w:val="ru-RU"/>
              </w:rPr>
              <w:t xml:space="preserve">: решение </w:t>
            </w:r>
            <w:proofErr w:type="spellStart"/>
            <w:r>
              <w:rPr>
                <w:rFonts w:hAnsi="Times New Roman" w:cs="Times New Roman"/>
                <w:bCs/>
                <w:color w:val="000000"/>
                <w:lang w:val="ru-RU"/>
              </w:rPr>
              <w:t>пед</w:t>
            </w:r>
            <w:proofErr w:type="gramStart"/>
            <w:r>
              <w:rPr>
                <w:rFonts w:hAnsi="Times New Roman" w:cs="Times New Roman"/>
                <w:bCs/>
                <w:color w:val="000000"/>
                <w:lang w:val="ru-RU"/>
              </w:rPr>
              <w:t>.с</w:t>
            </w:r>
            <w:proofErr w:type="gramEnd"/>
            <w:r>
              <w:rPr>
                <w:rFonts w:hAnsi="Times New Roman" w:cs="Times New Roman"/>
                <w:bCs/>
                <w:color w:val="000000"/>
                <w:lang w:val="ru-RU"/>
              </w:rPr>
              <w:t>овета</w:t>
            </w:r>
            <w:proofErr w:type="spellEnd"/>
            <w:r>
              <w:rPr>
                <w:rFonts w:hAnsi="Times New Roman" w:cs="Times New Roman"/>
                <w:bCs/>
                <w:color w:val="000000"/>
                <w:lang w:val="ru-RU"/>
              </w:rPr>
              <w:t xml:space="preserve"> №</w:t>
            </w:r>
            <w:r w:rsidR="0038507D">
              <w:rPr>
                <w:rFonts w:hAnsi="Times New Roman" w:cs="Times New Roman"/>
                <w:bCs/>
                <w:color w:val="000000"/>
                <w:lang w:val="ru-RU"/>
              </w:rPr>
              <w:t>7 от 2</w:t>
            </w:r>
            <w:r w:rsidR="00B7756C">
              <w:rPr>
                <w:rFonts w:hAnsi="Times New Roman" w:cs="Times New Roman"/>
                <w:bCs/>
                <w:color w:val="000000"/>
                <w:lang w:val="ru-RU"/>
              </w:rPr>
              <w:t>7</w:t>
            </w:r>
            <w:r w:rsidR="0038507D">
              <w:rPr>
                <w:rFonts w:hAnsi="Times New Roman" w:cs="Times New Roman"/>
                <w:bCs/>
                <w:color w:val="000000"/>
                <w:lang w:val="ru-RU"/>
              </w:rPr>
              <w:t>.06.2023 года</w:t>
            </w:r>
          </w:p>
        </w:tc>
        <w:tc>
          <w:tcPr>
            <w:tcW w:w="4622" w:type="dxa"/>
          </w:tcPr>
          <w:p w:rsidR="0048073E" w:rsidRPr="00653389" w:rsidRDefault="00653389" w:rsidP="0065338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УТВЕРЖДАЮ: директор Лицея ФГБОУ ВО «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КнАГУ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  <w:r w:rsidR="00B7756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В.С.Шилова</w:t>
            </w:r>
            <w:proofErr w:type="spellEnd"/>
            <w:r w:rsidR="00B7756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29.09.2023</w:t>
            </w:r>
          </w:p>
        </w:tc>
      </w:tr>
    </w:tbl>
    <w:p w:rsidR="00541D76" w:rsidRPr="00541D76" w:rsidRDefault="00F42421" w:rsidP="006533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11E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информационно-технологического профиля</w:t>
      </w:r>
      <w:r w:rsidR="00541D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СОО</w:t>
      </w:r>
      <w:r w:rsidRPr="00811E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 </w:t>
      </w:r>
      <w:bookmarkStart w:id="0" w:name="_GoBack"/>
      <w:bookmarkEnd w:id="0"/>
      <w:r w:rsidRPr="00811E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шестидневной учебной неделе </w:t>
      </w:r>
      <w:r w:rsidR="00541D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Лицея ФГБОУ ВО «</w:t>
      </w:r>
      <w:proofErr w:type="spellStart"/>
      <w:r w:rsidR="00541D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КнАГУ</w:t>
      </w:r>
      <w:proofErr w:type="spellEnd"/>
      <w:r w:rsidR="00541D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на 2023/2024уч</w:t>
      </w:r>
      <w:proofErr w:type="gramStart"/>
      <w:r w:rsidR="00541D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.г</w:t>
      </w:r>
      <w:proofErr w:type="gramEnd"/>
      <w:r w:rsidR="00541D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од.</w:t>
      </w:r>
    </w:p>
    <w:p w:rsidR="00524FA9" w:rsidRDefault="00F424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11E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C205E1" w:rsidRPr="00C205E1" w:rsidRDefault="00C205E1" w:rsidP="00C205E1">
      <w:pPr>
        <w:pStyle w:val="22"/>
        <w:shd w:val="clear" w:color="auto" w:fill="auto"/>
        <w:spacing w:line="240" w:lineRule="auto"/>
        <w:ind w:left="20" w:right="20" w:firstLine="700"/>
        <w:rPr>
          <w:sz w:val="24"/>
          <w:szCs w:val="24"/>
          <w:lang w:val="ru-RU"/>
        </w:rPr>
      </w:pPr>
      <w:r w:rsidRPr="00C205E1">
        <w:rPr>
          <w:sz w:val="24"/>
          <w:szCs w:val="24"/>
          <w:lang w:val="ru-RU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</w:t>
      </w:r>
      <w:r>
        <w:rPr>
          <w:sz w:val="24"/>
          <w:szCs w:val="24"/>
          <w:lang w:val="ru-RU"/>
        </w:rPr>
        <w:t>жуточной аттестации обучающихся.</w:t>
      </w:r>
    </w:p>
    <w:p w:rsidR="00524FA9" w:rsidRPr="00811E87" w:rsidRDefault="00F424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 соответствии с требованиями ФГОС СОО, ФОП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>СП 2.4.3648-20, СанПиН 1.2.3685-21. Количество часов по предметам рассчитано на уровень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>с учетом максимальной общей нагрузки при шестидневной учебной неделе и 68</w:t>
      </w:r>
      <w:r w:rsidR="001C324F">
        <w:rPr>
          <w:rFonts w:hAnsi="Times New Roman" w:cs="Times New Roman"/>
          <w:color w:val="000000"/>
          <w:sz w:val="24"/>
          <w:szCs w:val="24"/>
          <w:lang w:val="ru-RU"/>
        </w:rPr>
        <w:t>/70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 два учебных года.</w:t>
      </w:r>
    </w:p>
    <w:p w:rsidR="00524FA9" w:rsidRPr="00811E87" w:rsidRDefault="00F424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>и «</w:t>
      </w:r>
      <w:proofErr w:type="gramStart"/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</w:t>
      </w:r>
    </w:p>
    <w:p w:rsidR="00524FA9" w:rsidRPr="00811E87" w:rsidRDefault="00F424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 (информационно-технологического) профиля обучения включает 13 учебных предметов</w:t>
      </w:r>
      <w:r w:rsidR="000067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</w:t>
      </w:r>
      <w:r w:rsidR="000067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67FD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предусматривает изучение</w:t>
      </w:r>
      <w:r w:rsidR="000067FD">
        <w:rPr>
          <w:rFonts w:hAnsi="Times New Roman" w:cs="Times New Roman"/>
          <w:color w:val="000000"/>
          <w:sz w:val="24"/>
          <w:szCs w:val="24"/>
          <w:lang w:val="ru-RU"/>
        </w:rPr>
        <w:t xml:space="preserve"> двух</w:t>
      </w: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предметов на углубленном уровне из соответствующей профилю обучения предметной области «Математика и информатика»: математики</w:t>
      </w:r>
      <w:r w:rsidR="000067F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 xml:space="preserve"> и информатики</w:t>
      </w:r>
      <w:r w:rsidR="001C32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067FD" w:rsidRPr="00B05A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По решению педагогического коллектива, родительской общественности, интересов и </w:t>
      </w:r>
      <w:proofErr w:type="gramStart"/>
      <w:r w:rsidR="000067FD" w:rsidRPr="00B05A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запросов</w:t>
      </w:r>
      <w:proofErr w:type="gramEnd"/>
      <w:r w:rsidR="000067FD" w:rsidRPr="00B05A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обучающихся и родителей (законных представителей)</w:t>
      </w:r>
      <w:r w:rsidR="000067F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несовершеннолетних обучающихся, т</w:t>
      </w:r>
      <w:r w:rsidR="001C324F">
        <w:rPr>
          <w:rFonts w:hAnsi="Times New Roman" w:cs="Times New Roman"/>
          <w:color w:val="000000"/>
          <w:sz w:val="24"/>
          <w:szCs w:val="24"/>
          <w:lang w:val="ru-RU"/>
        </w:rPr>
        <w:t>ри предмета из области «Естественно-научные предметы»: физика, химия, биология</w:t>
      </w:r>
      <w:r w:rsidR="000067FD">
        <w:rPr>
          <w:rFonts w:hAnsi="Times New Roman" w:cs="Times New Roman"/>
          <w:color w:val="000000"/>
          <w:sz w:val="24"/>
          <w:szCs w:val="24"/>
          <w:lang w:val="ru-RU"/>
        </w:rPr>
        <w:t xml:space="preserve"> так же изучаются на углубленном уровне.</w:t>
      </w:r>
    </w:p>
    <w:p w:rsidR="00524FA9" w:rsidRPr="00811E87" w:rsidRDefault="00F424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</w:t>
      </w:r>
      <w:r w:rsidR="000067FD">
        <w:rPr>
          <w:rFonts w:hAnsi="Times New Roman" w:cs="Times New Roman"/>
          <w:color w:val="000000"/>
          <w:sz w:val="24"/>
          <w:szCs w:val="24"/>
          <w:lang w:val="ru-RU"/>
        </w:rPr>
        <w:t>«Информационно</w:t>
      </w:r>
      <w:r w:rsidR="009F65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067FD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технологического» </w:t>
      </w: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профиля строится с ориентацией на будущую сферу профессиональной деятельности с учетом предполагаемого продолжения образования </w:t>
      </w:r>
      <w:proofErr w:type="gramStart"/>
      <w:r w:rsidR="001C324F">
        <w:rPr>
          <w:rFonts w:hAnsi="Times New Roman" w:cs="Times New Roman"/>
          <w:color w:val="000000"/>
          <w:sz w:val="24"/>
          <w:szCs w:val="24"/>
          <w:lang w:val="ru-RU"/>
        </w:rPr>
        <w:t>обучающими</w:t>
      </w: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="00C205E1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технических </w:t>
      </w:r>
      <w:proofErr w:type="spellStart"/>
      <w:r w:rsidR="00C205E1">
        <w:rPr>
          <w:rFonts w:hAnsi="Times New Roman" w:cs="Times New Roman"/>
          <w:color w:val="000000"/>
          <w:sz w:val="24"/>
          <w:szCs w:val="24"/>
          <w:lang w:val="ru-RU"/>
        </w:rPr>
        <w:t>ВУЗАх</w:t>
      </w:r>
      <w:proofErr w:type="spellEnd"/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05E1" w:rsidRPr="00006A9C" w:rsidRDefault="00F42421" w:rsidP="00006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>В учебном плане учебный предмет «Математика» (предметная область «Математика и информатика») представлен в виде трех учебных курсов: «Алгебра и начала математического анализа», «Геометрия», «Вероятность и статистика».</w:t>
      </w:r>
      <w:r w:rsidR="00541D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в </w:t>
      </w:r>
      <w:r w:rsidR="00541D76">
        <w:rPr>
          <w:rFonts w:hAnsi="Times New Roman" w:cs="Times New Roman"/>
          <w:color w:val="000000"/>
          <w:sz w:val="24"/>
          <w:szCs w:val="24"/>
          <w:lang w:val="ru-RU"/>
        </w:rPr>
        <w:t>Лицее ФГБОУ ВО «</w:t>
      </w:r>
      <w:proofErr w:type="spellStart"/>
      <w:r w:rsidR="00541D76">
        <w:rPr>
          <w:rFonts w:hAnsi="Times New Roman" w:cs="Times New Roman"/>
          <w:color w:val="000000"/>
          <w:sz w:val="24"/>
          <w:szCs w:val="24"/>
          <w:lang w:val="ru-RU"/>
        </w:rPr>
        <w:t>КнАГУ</w:t>
      </w:r>
      <w:proofErr w:type="spellEnd"/>
      <w:r w:rsidR="00541D76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811E87">
        <w:rPr>
          <w:rFonts w:hAnsi="Times New Roman" w:cs="Times New Roman"/>
          <w:color w:val="000000"/>
          <w:sz w:val="24"/>
          <w:szCs w:val="24"/>
          <w:lang w:val="ru-RU"/>
        </w:rPr>
        <w:t xml:space="preserve">ведется на русском языке. </w:t>
      </w:r>
      <w:r w:rsidR="00C205E1" w:rsidRPr="00C205E1">
        <w:rPr>
          <w:sz w:val="24"/>
          <w:szCs w:val="24"/>
          <w:lang w:val="ru-RU"/>
        </w:rPr>
        <w:t>В учебном плане полностью реализуется Ф</w:t>
      </w:r>
      <w:r w:rsidR="00006A9C">
        <w:rPr>
          <w:sz w:val="24"/>
          <w:szCs w:val="24"/>
          <w:lang w:val="ru-RU"/>
        </w:rPr>
        <w:t>ОП</w:t>
      </w:r>
      <w:r w:rsidR="00C205E1" w:rsidRPr="00C205E1">
        <w:rPr>
          <w:sz w:val="24"/>
          <w:szCs w:val="24"/>
          <w:lang w:val="ru-RU"/>
        </w:rPr>
        <w:t>, котор</w:t>
      </w:r>
      <w:r w:rsidR="00006A9C">
        <w:rPr>
          <w:sz w:val="24"/>
          <w:szCs w:val="24"/>
          <w:lang w:val="ru-RU"/>
        </w:rPr>
        <w:t>ая</w:t>
      </w:r>
      <w:r w:rsidR="00C205E1" w:rsidRPr="00C205E1">
        <w:rPr>
          <w:sz w:val="24"/>
          <w:szCs w:val="24"/>
          <w:lang w:val="ru-RU"/>
        </w:rPr>
        <w:t xml:space="preserve"> обеспечивает единство образовательного пространства РФ и гарантирует овладение выпускниками необходимым</w:t>
      </w:r>
      <w:r w:rsidR="00006A9C">
        <w:rPr>
          <w:sz w:val="24"/>
          <w:szCs w:val="24"/>
          <w:lang w:val="ru-RU"/>
        </w:rPr>
        <w:t xml:space="preserve"> объемом знаний, универсальными </w:t>
      </w:r>
      <w:r w:rsidR="00C205E1" w:rsidRPr="00C205E1">
        <w:rPr>
          <w:sz w:val="24"/>
          <w:szCs w:val="24"/>
          <w:lang w:val="ru-RU"/>
        </w:rPr>
        <w:t>учебными действиями, соответствующим уровнем личностных и общекультурных компетентностей, социально-личностными умениями и навыками, предусмотренными ФГОС.</w:t>
      </w:r>
    </w:p>
    <w:p w:rsidR="00C205E1" w:rsidRPr="00541D76" w:rsidRDefault="00C205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6A9C" w:rsidRDefault="00006A9C" w:rsidP="00006A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4FA9" w:rsidRPr="008447D5" w:rsidRDefault="00F42421" w:rsidP="00006A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41D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</w:t>
      </w:r>
      <w:r w:rsidR="00541D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447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ИНФОРМАЦИОННО-</w:t>
      </w:r>
      <w:r w:rsidR="00541D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ТЕХНОЛОГИЧЕСКОГО ПРОФИЛЯ СОО ЛИЦЕЯ ФГБОУ ВО НА 2023-2024 УЧ</w:t>
      </w:r>
      <w:proofErr w:type="gramStart"/>
      <w:r w:rsidR="00541D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.Г</w:t>
      </w:r>
      <w:proofErr w:type="gramEnd"/>
      <w:r w:rsidR="00541D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0"/>
        <w:gridCol w:w="2656"/>
        <w:gridCol w:w="1060"/>
        <w:gridCol w:w="1404"/>
        <w:gridCol w:w="1837"/>
      </w:tblGrid>
      <w:tr w:rsidR="00524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524F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541D76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  <w:r w:rsidR="00541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524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541D76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  <w:r w:rsidR="00541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524FA9" w:rsidRPr="00B775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11E87" w:rsidRDefault="00F424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E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4093D" w:rsidRDefault="00524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4093D" w:rsidRDefault="00524F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541D76" w:rsidRDefault="00524F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4093D" w:rsidRDefault="00524F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4FA9" w:rsidRPr="00B775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4093D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4093D" w:rsidRDefault="00524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4093D" w:rsidRDefault="00524F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541D76" w:rsidRDefault="00524F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4093D" w:rsidRDefault="00524F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4F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541D76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  <w:r w:rsidR="00541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524F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524FA9" w:rsidRPr="00811E87" w:rsidRDefault="00F4242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E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математического анализа;</w:t>
            </w:r>
          </w:p>
          <w:p w:rsidR="00524FA9" w:rsidRDefault="00F4242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24FA9" w:rsidRDefault="00F42421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447D5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544</w:t>
            </w:r>
            <w:r w:rsidR="0084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524FA9" w:rsidTr="00B71681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447D5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272</w:t>
            </w:r>
            <w:r w:rsidR="0084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524F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История:</w:t>
            </w:r>
          </w:p>
          <w:p w:rsidR="00524FA9" w:rsidRDefault="00F4242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России;</w:t>
            </w:r>
          </w:p>
          <w:p w:rsidR="00524FA9" w:rsidRDefault="00F4242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447D5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  <w:r w:rsidR="0084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524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447D5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  <w:r w:rsidR="0084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524FA9" w:rsidTr="00B71681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447D5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  <w:r w:rsidR="0084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524F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373C3" w:rsidRDefault="00E373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447D5" w:rsidRDefault="00E373C3" w:rsidP="00E373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340</w:t>
            </w:r>
            <w:r w:rsidR="0084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524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447D5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  <w:r w:rsidR="0084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/70/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524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447D5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  <w:r w:rsidR="0084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524F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11E87" w:rsidRDefault="00F424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E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447D5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  <w:r w:rsidR="0084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524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447D5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  <w:r w:rsidR="0084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524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F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по выбору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447D5" w:rsidRDefault="008447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447D5" w:rsidRDefault="00E373C3" w:rsidP="00E373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68/70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524F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447D5" w:rsidRDefault="008447D5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ЭК</w:t>
            </w:r>
            <w:proofErr w:type="gramEnd"/>
            <w:r>
              <w:rPr>
                <w:lang w:val="ru-RU"/>
              </w:rPr>
              <w:t xml:space="preserve">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447D5" w:rsidRDefault="00E373C3" w:rsidP="008447D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68/70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 w:rsidP="008447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524F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373C3" w:rsidRDefault="00F4242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73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ИТОГО</w:t>
            </w:r>
            <w:r w:rsidR="00E373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373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="00E373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34/35 НЕДЕЛЬ) ЗА ДВА ГОДА  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373C3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2516</w:t>
            </w:r>
            <w:r w:rsidR="00E373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47D5" w:rsidRDefault="008447D5" w:rsidP="006533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4FA9" w:rsidRPr="00811E87" w:rsidRDefault="00F424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E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НЕДЕЛЬНЫЙ УЧЕБНЫЙ ПЛАН ТЕХНОЛОГИЧЕСКОГО ПРОФИЛЯ СОО ПРИ ШЕСТИДНЕВНОЙ УЧЕБНОЙ НЕДЕЛЕ</w:t>
      </w:r>
    </w:p>
    <w:tbl>
      <w:tblPr>
        <w:tblW w:w="9214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7"/>
        <w:gridCol w:w="2715"/>
        <w:gridCol w:w="1081"/>
        <w:gridCol w:w="1065"/>
        <w:gridCol w:w="2056"/>
      </w:tblGrid>
      <w:tr w:rsidR="00524FA9" w:rsidTr="00B05ABB"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24FA9" w:rsidTr="00B05ABB">
        <w:tc>
          <w:tcPr>
            <w:tcW w:w="2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 (34 учебные недели)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класс (34 учебные недели) </w:t>
            </w:r>
          </w:p>
        </w:tc>
      </w:tr>
      <w:tr w:rsidR="00524FA9" w:rsidTr="00B05ABB">
        <w:tc>
          <w:tcPr>
            <w:tcW w:w="9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524FA9" w:rsidTr="00B05ABB"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4FA9" w:rsidTr="00B05ABB">
        <w:tc>
          <w:tcPr>
            <w:tcW w:w="2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4FA9" w:rsidRPr="00B7756C" w:rsidTr="00B05ABB"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11E87" w:rsidRDefault="00F424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E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4093D" w:rsidRDefault="00524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4093D" w:rsidRDefault="00524F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4093D" w:rsidRDefault="00524F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4093D" w:rsidRDefault="00524F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4FA9" w:rsidRPr="00B7756C" w:rsidTr="00B05ABB">
        <w:tc>
          <w:tcPr>
            <w:tcW w:w="2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4093D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4093D" w:rsidRDefault="00524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4093D" w:rsidRDefault="00524F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4093D" w:rsidRDefault="00524F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E4093D" w:rsidRDefault="00524F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4FA9" w:rsidTr="00B05ABB"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4FA9" w:rsidTr="00B05ABB"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524FA9" w:rsidRPr="00811E87" w:rsidRDefault="00F4242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E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математического анализа;</w:t>
            </w:r>
          </w:p>
          <w:p w:rsidR="00524FA9" w:rsidRDefault="00F4242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24FA9" w:rsidRDefault="00F4242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24FA9" w:rsidTr="00B05ABB">
        <w:tc>
          <w:tcPr>
            <w:tcW w:w="2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24FA9" w:rsidTr="00B05ABB"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4FA9" w:rsidTr="00B05ABB">
        <w:tc>
          <w:tcPr>
            <w:tcW w:w="2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4FA9" w:rsidTr="00B05ABB">
        <w:tc>
          <w:tcPr>
            <w:tcW w:w="2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4FA9" w:rsidTr="00B05ABB"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11E87" w:rsidRDefault="00811E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11E87" w:rsidRDefault="00811E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11E87" w:rsidRDefault="00811E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24FA9" w:rsidTr="00B05ABB">
        <w:tc>
          <w:tcPr>
            <w:tcW w:w="2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4FA9" w:rsidTr="00B05ABB">
        <w:tc>
          <w:tcPr>
            <w:tcW w:w="2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4FA9" w:rsidTr="00B05ABB"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11E87" w:rsidRDefault="00F424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E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4FA9" w:rsidTr="00B05ABB">
        <w:tc>
          <w:tcPr>
            <w:tcW w:w="2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524F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4FA9" w:rsidTr="00B05ABB">
        <w:tc>
          <w:tcPr>
            <w:tcW w:w="6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11E87" w:rsidRDefault="00811E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24FA9" w:rsidTr="00B05ABB">
        <w:tc>
          <w:tcPr>
            <w:tcW w:w="6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11E87" w:rsidRDefault="00811E8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11E87" w:rsidRDefault="00811E8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24FA9" w:rsidTr="00B05ABB">
        <w:tc>
          <w:tcPr>
            <w:tcW w:w="6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11E87" w:rsidRDefault="00F42421">
            <w:pPr>
              <w:rPr>
                <w:lang w:val="ru-RU"/>
              </w:rPr>
            </w:pPr>
            <w:r w:rsidRPr="00811E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11E87" w:rsidRDefault="00811E87" w:rsidP="00811E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 w:rsidP="00811E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4FA9" w:rsidTr="00B05ABB">
        <w:tc>
          <w:tcPr>
            <w:tcW w:w="6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11E87" w:rsidRDefault="00811E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11E87" w:rsidRDefault="00811E87" w:rsidP="00811E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 w:rsidP="00811E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4FA9" w:rsidTr="00B05ABB">
        <w:tc>
          <w:tcPr>
            <w:tcW w:w="6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11E87" w:rsidRDefault="00811E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 w:rsidP="00811E8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 w:rsidP="00811E8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4FA9" w:rsidTr="00B05ABB">
        <w:tc>
          <w:tcPr>
            <w:tcW w:w="6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524FA9" w:rsidTr="00B05ABB">
        <w:tc>
          <w:tcPr>
            <w:tcW w:w="7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Pr="00811E87" w:rsidRDefault="00F4242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E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 два года обучения</w:t>
            </w:r>
            <w:r w:rsidR="00811E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34 недели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FA9" w:rsidRDefault="00F42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2516</w:t>
            </w:r>
          </w:p>
        </w:tc>
      </w:tr>
      <w:tr w:rsidR="00811E87" w:rsidRPr="00811E87" w:rsidTr="00B05ABB">
        <w:tc>
          <w:tcPr>
            <w:tcW w:w="7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E87" w:rsidRPr="00811E87" w:rsidRDefault="00811E87">
            <w:pPr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 два года обучения 35 недель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E87" w:rsidRPr="00811E87" w:rsidRDefault="004A3C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2590</w:t>
            </w:r>
          </w:p>
        </w:tc>
      </w:tr>
    </w:tbl>
    <w:p w:rsidR="00B05ABB" w:rsidRDefault="00B05ABB" w:rsidP="00B05ABB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ru-RU"/>
        </w:rPr>
      </w:pPr>
    </w:p>
    <w:p w:rsidR="00B05ABB" w:rsidRDefault="00B05ABB" w:rsidP="00B05ABB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ru-RU"/>
        </w:rPr>
      </w:pPr>
    </w:p>
    <w:p w:rsidR="009522BB" w:rsidRPr="001C324F" w:rsidRDefault="00B05ABB" w:rsidP="001C324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A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По решению педагогического коллектива, родительской общественности, интересов и </w:t>
      </w:r>
      <w:proofErr w:type="gramStart"/>
      <w:r w:rsidRPr="00B05A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запросов</w:t>
      </w:r>
      <w:proofErr w:type="gramEnd"/>
      <w:r w:rsidRPr="00B05A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обучающихся и родителей (законных представителей) несовершеннолетних обучающихся план внеурочной деятельности в образовательной организации модифицируется в соответствии с пятью профилями: естественно-научным, гуманитарным, социально-экономическим, технологическим, универсальным.</w:t>
      </w:r>
      <w:r w:rsidRPr="00B05AB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  <w:t xml:space="preserve">Приказ </w:t>
      </w:r>
      <w:proofErr w:type="spellStart"/>
      <w:r w:rsidRPr="00B05AB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Минпросвеще</w:t>
      </w:r>
      <w:r w:rsidR="00B7168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ния</w:t>
      </w:r>
      <w:proofErr w:type="spellEnd"/>
      <w:r w:rsidR="00B7168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России от 23.11.2022 № 1014 «</w:t>
      </w:r>
      <w:r w:rsidRPr="00B05AB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 утверждении федеральной образовательной программы</w:t>
      </w:r>
      <w:r w:rsidR="001C324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среднего общего образования</w:t>
      </w:r>
      <w:r w:rsidR="00B7168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</w:t>
      </w:r>
      <w:r w:rsidR="001C324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9522BB" w:rsidRPr="00C76737" w:rsidRDefault="00C7673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ПЛАН ВНЕУРОЧНОЙ ДЕЯТЕЛЬНОСТИ</w:t>
      </w:r>
      <w:r w:rsidRPr="00C76737">
        <w:rPr>
          <w:b/>
          <w:sz w:val="24"/>
          <w:szCs w:val="24"/>
          <w:lang w:val="ru-RU"/>
        </w:rPr>
        <w:t xml:space="preserve"> СОО</w:t>
      </w:r>
      <w:r w:rsidR="00B05ABB">
        <w:rPr>
          <w:b/>
          <w:sz w:val="24"/>
          <w:szCs w:val="24"/>
          <w:lang w:val="ru-RU"/>
        </w:rPr>
        <w:t xml:space="preserve"> НА</w:t>
      </w:r>
      <w:r w:rsidRPr="00C76737">
        <w:rPr>
          <w:b/>
          <w:sz w:val="24"/>
          <w:szCs w:val="24"/>
          <w:lang w:val="ru-RU"/>
        </w:rPr>
        <w:t xml:space="preserve"> 2023/2024</w:t>
      </w:r>
      <w:r w:rsidR="00B05ABB">
        <w:rPr>
          <w:b/>
          <w:sz w:val="24"/>
          <w:szCs w:val="24"/>
          <w:lang w:val="ru-RU"/>
        </w:rPr>
        <w:t xml:space="preserve"> УЧЕБНЫЙ ГОД.</w:t>
      </w:r>
    </w:p>
    <w:tbl>
      <w:tblPr>
        <w:tblStyle w:val="a7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134"/>
        <w:gridCol w:w="851"/>
        <w:gridCol w:w="1134"/>
        <w:gridCol w:w="1134"/>
      </w:tblGrid>
      <w:tr w:rsidR="009522BB" w:rsidTr="00B71681">
        <w:trPr>
          <w:trHeight w:val="285"/>
        </w:trPr>
        <w:tc>
          <w:tcPr>
            <w:tcW w:w="2410" w:type="dxa"/>
            <w:vMerge w:val="restart"/>
          </w:tcPr>
          <w:p w:rsidR="009522BB" w:rsidRPr="00B71681" w:rsidRDefault="009522BB" w:rsidP="00363AD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7168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Направления развития личности</w:t>
            </w:r>
          </w:p>
        </w:tc>
        <w:tc>
          <w:tcPr>
            <w:tcW w:w="3402" w:type="dxa"/>
            <w:vMerge w:val="restart"/>
          </w:tcPr>
          <w:p w:rsidR="009522BB" w:rsidRPr="00B71681" w:rsidRDefault="009522BB" w:rsidP="00363AD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7168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внеурочной деятельности</w:t>
            </w:r>
          </w:p>
        </w:tc>
        <w:tc>
          <w:tcPr>
            <w:tcW w:w="4253" w:type="dxa"/>
            <w:gridSpan w:val="4"/>
          </w:tcPr>
          <w:p w:rsidR="009522BB" w:rsidRPr="00B71681" w:rsidRDefault="009522BB" w:rsidP="00363AD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7168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 внеурочной деятельности</w:t>
            </w:r>
          </w:p>
        </w:tc>
      </w:tr>
      <w:tr w:rsidR="009522BB" w:rsidTr="00B71681">
        <w:trPr>
          <w:trHeight w:val="270"/>
        </w:trPr>
        <w:tc>
          <w:tcPr>
            <w:tcW w:w="2410" w:type="dxa"/>
            <w:vMerge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10</w:t>
            </w:r>
          </w:p>
        </w:tc>
        <w:tc>
          <w:tcPr>
            <w:tcW w:w="851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11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год</w:t>
            </w:r>
          </w:p>
        </w:tc>
      </w:tr>
      <w:tr w:rsidR="009522BB" w:rsidTr="00B71681">
        <w:tc>
          <w:tcPr>
            <w:tcW w:w="2410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3402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 хореографии и бального танца.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34/35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34/35</w:t>
            </w:r>
          </w:p>
        </w:tc>
      </w:tr>
      <w:tr w:rsidR="009522BB" w:rsidTr="00B71681">
        <w:tc>
          <w:tcPr>
            <w:tcW w:w="2410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3402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«Разговор 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34/35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34/35</w:t>
            </w:r>
          </w:p>
        </w:tc>
      </w:tr>
      <w:tr w:rsidR="009522BB" w:rsidTr="00B71681">
        <w:tc>
          <w:tcPr>
            <w:tcW w:w="2410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 интеллектуальное </w:t>
            </w:r>
          </w:p>
        </w:tc>
        <w:tc>
          <w:tcPr>
            <w:tcW w:w="3402" w:type="dxa"/>
          </w:tcPr>
          <w:p w:rsidR="009522BB" w:rsidRDefault="009522BB" w:rsidP="00B05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</w:t>
            </w:r>
            <w:r w:rsidR="00B05A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</w:t>
            </w:r>
            <w:proofErr w:type="gramEnd"/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68/70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34/35</w:t>
            </w:r>
          </w:p>
        </w:tc>
      </w:tr>
      <w:tr w:rsidR="009522BB" w:rsidTr="00B71681">
        <w:tc>
          <w:tcPr>
            <w:tcW w:w="2410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Инженерная графика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68/70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522BB" w:rsidTr="00B71681">
        <w:tc>
          <w:tcPr>
            <w:tcW w:w="2410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 «Электроника и электротехника»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68/70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4093D" w:rsidTr="00B71681">
        <w:tc>
          <w:tcPr>
            <w:tcW w:w="2410" w:type="dxa"/>
          </w:tcPr>
          <w:p w:rsidR="00E4093D" w:rsidRDefault="00E4093D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E4093D" w:rsidRPr="00E4093D" w:rsidRDefault="00E4093D" w:rsidP="00363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САПР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(Auto CAD)</w:t>
            </w:r>
          </w:p>
        </w:tc>
        <w:tc>
          <w:tcPr>
            <w:tcW w:w="1134" w:type="dxa"/>
          </w:tcPr>
          <w:p w:rsidR="00E4093D" w:rsidRPr="00E4093D" w:rsidRDefault="00E4093D" w:rsidP="00363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4093D" w:rsidRPr="00E4093D" w:rsidRDefault="00E4093D" w:rsidP="00363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68/70</w:t>
            </w:r>
          </w:p>
        </w:tc>
        <w:tc>
          <w:tcPr>
            <w:tcW w:w="1134" w:type="dxa"/>
          </w:tcPr>
          <w:p w:rsidR="00E4093D" w:rsidRPr="00E4093D" w:rsidRDefault="00E4093D" w:rsidP="00363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093D" w:rsidRPr="00E4093D" w:rsidRDefault="00E4093D" w:rsidP="00363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68/70</w:t>
            </w:r>
          </w:p>
        </w:tc>
      </w:tr>
      <w:tr w:rsidR="009522BB" w:rsidTr="00B71681">
        <w:tc>
          <w:tcPr>
            <w:tcW w:w="2410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физике, биологии, обществу, химии, ИКТ</w:t>
            </w: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9522BB" w:rsidRPr="00E4093D" w:rsidRDefault="00E4093D" w:rsidP="00363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522BB" w:rsidRDefault="00E4093D" w:rsidP="00E40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170/175</w:t>
            </w:r>
          </w:p>
        </w:tc>
      </w:tr>
      <w:tr w:rsidR="009522BB" w:rsidTr="00B71681">
        <w:tc>
          <w:tcPr>
            <w:tcW w:w="2410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 за два года</w:t>
            </w:r>
          </w:p>
        </w:tc>
        <w:tc>
          <w:tcPr>
            <w:tcW w:w="3402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522BB" w:rsidRDefault="009522BB" w:rsidP="00363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9522BB" w:rsidRPr="00B71681" w:rsidRDefault="009522BB" w:rsidP="00363AD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7168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700</w:t>
            </w:r>
          </w:p>
        </w:tc>
      </w:tr>
    </w:tbl>
    <w:p w:rsidR="009522BB" w:rsidRPr="00811E87" w:rsidRDefault="009522BB" w:rsidP="00B71681">
      <w:pPr>
        <w:rPr>
          <w:lang w:val="ru-RU"/>
        </w:rPr>
      </w:pPr>
    </w:p>
    <w:sectPr w:rsidR="009522BB" w:rsidRPr="00811E87" w:rsidSect="00B71681">
      <w:headerReference w:type="default" r:id="rId8"/>
      <w:pgSz w:w="11907" w:h="16839"/>
      <w:pgMar w:top="709" w:right="1440" w:bottom="567" w:left="144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DF" w:rsidRDefault="00546BDF" w:rsidP="00743FE3">
      <w:pPr>
        <w:spacing w:before="0" w:after="0"/>
      </w:pPr>
      <w:r>
        <w:separator/>
      </w:r>
    </w:p>
  </w:endnote>
  <w:endnote w:type="continuationSeparator" w:id="0">
    <w:p w:rsidR="00546BDF" w:rsidRDefault="00546BDF" w:rsidP="00743F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DF" w:rsidRDefault="00546BDF" w:rsidP="00743FE3">
      <w:pPr>
        <w:spacing w:before="0" w:after="0"/>
      </w:pPr>
      <w:r>
        <w:separator/>
      </w:r>
    </w:p>
  </w:footnote>
  <w:footnote w:type="continuationSeparator" w:id="0">
    <w:p w:rsidR="00546BDF" w:rsidRDefault="00546BDF" w:rsidP="00743F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E3" w:rsidRDefault="00743FE3">
    <w:pPr>
      <w:pStyle w:val="a3"/>
    </w:pPr>
    <w:r w:rsidRPr="00743FE3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75CF917A" wp14:editId="370CDBA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00550" cy="371475"/>
          <wp:effectExtent l="19050" t="0" r="0" b="0"/>
          <wp:wrapNone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72B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76B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67FD"/>
    <w:rsid w:val="00006A9C"/>
    <w:rsid w:val="001C324F"/>
    <w:rsid w:val="00217059"/>
    <w:rsid w:val="002D33B1"/>
    <w:rsid w:val="002D3591"/>
    <w:rsid w:val="003514A0"/>
    <w:rsid w:val="0038507D"/>
    <w:rsid w:val="0048073E"/>
    <w:rsid w:val="004A3CF3"/>
    <w:rsid w:val="004F7E17"/>
    <w:rsid w:val="00524FA9"/>
    <w:rsid w:val="00541D76"/>
    <w:rsid w:val="00546BDF"/>
    <w:rsid w:val="005A05CE"/>
    <w:rsid w:val="00653389"/>
    <w:rsid w:val="00653AF6"/>
    <w:rsid w:val="00743FE3"/>
    <w:rsid w:val="00811E87"/>
    <w:rsid w:val="008447D5"/>
    <w:rsid w:val="009522BB"/>
    <w:rsid w:val="009F65F1"/>
    <w:rsid w:val="00AB1B51"/>
    <w:rsid w:val="00B05ABB"/>
    <w:rsid w:val="00B71681"/>
    <w:rsid w:val="00B73A5A"/>
    <w:rsid w:val="00B7756C"/>
    <w:rsid w:val="00C205E1"/>
    <w:rsid w:val="00C76737"/>
    <w:rsid w:val="00E373C3"/>
    <w:rsid w:val="00E4093D"/>
    <w:rsid w:val="00E438A1"/>
    <w:rsid w:val="00F01E19"/>
    <w:rsid w:val="00F24AAE"/>
    <w:rsid w:val="00F42421"/>
    <w:rsid w:val="00FA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43FE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43FE3"/>
  </w:style>
  <w:style w:type="paragraph" w:styleId="a5">
    <w:name w:val="footer"/>
    <w:basedOn w:val="a"/>
    <w:link w:val="a6"/>
    <w:uiPriority w:val="99"/>
    <w:unhideWhenUsed/>
    <w:rsid w:val="00743FE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43FE3"/>
  </w:style>
  <w:style w:type="table" w:styleId="a7">
    <w:name w:val="Table Grid"/>
    <w:basedOn w:val="a1"/>
    <w:uiPriority w:val="59"/>
    <w:rsid w:val="009522B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right-info">
    <w:name w:val="copyright-info"/>
    <w:basedOn w:val="a"/>
    <w:rsid w:val="00B05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05ABB"/>
    <w:rPr>
      <w:color w:val="0000FF"/>
      <w:u w:val="single"/>
    </w:rPr>
  </w:style>
  <w:style w:type="character" w:customStyle="1" w:styleId="a9">
    <w:name w:val="Основной текст_"/>
    <w:basedOn w:val="a0"/>
    <w:link w:val="22"/>
    <w:locked/>
    <w:rsid w:val="00C205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22"/>
    <w:basedOn w:val="a"/>
    <w:link w:val="a9"/>
    <w:rsid w:val="00C205E1"/>
    <w:pPr>
      <w:shd w:val="clear" w:color="auto" w:fill="FFFFFF"/>
      <w:spacing w:before="0" w:beforeAutospacing="0" w:after="0" w:afterAutospacing="0" w:line="274" w:lineRule="exact"/>
      <w:ind w:hanging="740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006A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Черная Наталья Трифоновна</cp:lastModifiedBy>
  <cp:revision>8</cp:revision>
  <cp:lastPrinted>2023-08-22T23:14:00Z</cp:lastPrinted>
  <dcterms:created xsi:type="dcterms:W3CDTF">2011-11-02T04:15:00Z</dcterms:created>
  <dcterms:modified xsi:type="dcterms:W3CDTF">2023-09-29T01:49:00Z</dcterms:modified>
</cp:coreProperties>
</file>